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</w:t>
      </w:r>
      <w:proofErr w:type="spell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Минпросвещения</w:t>
      </w:r>
      <w:proofErr w:type="spell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</w:t>
      </w:r>
      <w:proofErr w:type="spell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Минпросвещения</w:t>
      </w:r>
      <w:proofErr w:type="spell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документе есть перечень анимационных и кинематографических произведений как российских, так и иностранных. </w:t>
      </w:r>
      <w:proofErr w:type="spell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Минпросвещения</w:t>
      </w:r>
      <w:proofErr w:type="spell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8C0732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МБДОУ</w:t>
      </w:r>
      <w:r w:rsidR="00A02030"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</w:t>
      </w:r>
      <w:r w:rsidR="002A7FBD">
        <w:rPr>
          <w:rFonts w:ascii="Arial" w:eastAsia="Times New Roman" w:hAnsi="Arial" w:cs="Arial"/>
          <w:b/>
          <w:bCs/>
          <w:color w:val="441413"/>
          <w:sz w:val="24"/>
          <w:szCs w:val="24"/>
        </w:rPr>
        <w:t>«Детский сад № 2 п</w:t>
      </w:r>
      <w:proofErr w:type="gramStart"/>
      <w:r w:rsidR="002A7FBD">
        <w:rPr>
          <w:rFonts w:ascii="Arial" w:eastAsia="Times New Roman" w:hAnsi="Arial" w:cs="Arial"/>
          <w:b/>
          <w:bCs/>
          <w:color w:val="441413"/>
          <w:sz w:val="24"/>
          <w:szCs w:val="24"/>
        </w:rPr>
        <w:t>.В</w:t>
      </w:r>
      <w:proofErr w:type="gramEnd"/>
      <w:r w:rsidR="002A7FBD">
        <w:rPr>
          <w:rFonts w:ascii="Arial" w:eastAsia="Times New Roman" w:hAnsi="Arial" w:cs="Arial"/>
          <w:b/>
          <w:bCs/>
          <w:color w:val="441413"/>
          <w:sz w:val="24"/>
          <w:szCs w:val="24"/>
        </w:rPr>
        <w:t>ерховье»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Pr="000E08FA" w:rsidRDefault="002A7FBD" w:rsidP="002A7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п. Верховье</w:t>
      </w:r>
    </w:p>
    <w:sectPr w:rsidR="0033565A" w:rsidRPr="000E08FA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9F1"/>
    <w:rsid w:val="000C176C"/>
    <w:rsid w:val="000E08FA"/>
    <w:rsid w:val="000F7B94"/>
    <w:rsid w:val="0026193D"/>
    <w:rsid w:val="002A7FBD"/>
    <w:rsid w:val="002D352D"/>
    <w:rsid w:val="0033565A"/>
    <w:rsid w:val="00396886"/>
    <w:rsid w:val="004B4CC5"/>
    <w:rsid w:val="005B3F21"/>
    <w:rsid w:val="006B69F1"/>
    <w:rsid w:val="00706678"/>
    <w:rsid w:val="008C0732"/>
    <w:rsid w:val="00A02030"/>
    <w:rsid w:val="00A66724"/>
    <w:rsid w:val="00B34ABA"/>
    <w:rsid w:val="00DE2C70"/>
    <w:rsid w:val="00E2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06B6-7C61-4436-A77F-0228BD30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2023-09-09T14:37:00Z</cp:lastPrinted>
  <dcterms:created xsi:type="dcterms:W3CDTF">2023-09-09T12:06:00Z</dcterms:created>
  <dcterms:modified xsi:type="dcterms:W3CDTF">2024-01-15T19:49:00Z</dcterms:modified>
</cp:coreProperties>
</file>